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25" w:rsidRDefault="00347425" w:rsidP="00E723D6">
      <w:pPr>
        <w:jc w:val="center"/>
        <w:rPr>
          <w:b/>
          <w:lang w:val="es-MX"/>
        </w:rPr>
      </w:pPr>
      <w:r>
        <w:rPr>
          <w:b/>
          <w:lang w:val="es-MX"/>
        </w:rPr>
        <w:t>Respuesta a observaciones</w:t>
      </w:r>
    </w:p>
    <w:p w:rsidR="00E723D6" w:rsidRPr="00687F2F" w:rsidRDefault="00E723D6" w:rsidP="00E723D6">
      <w:pPr>
        <w:jc w:val="center"/>
        <w:rPr>
          <w:b/>
          <w:lang w:val="es-MX"/>
        </w:rPr>
      </w:pPr>
      <w:r w:rsidRPr="00687F2F">
        <w:rPr>
          <w:b/>
          <w:lang w:val="es-MX"/>
        </w:rPr>
        <w:t>ARTÍCULO 1781-4126-1-RV</w:t>
      </w:r>
    </w:p>
    <w:p w:rsidR="00E723D6" w:rsidRDefault="00E723D6" w:rsidP="00E723D6">
      <w:pPr>
        <w:jc w:val="center"/>
        <w:rPr>
          <w:b/>
          <w:lang w:val="es-PE"/>
        </w:rPr>
      </w:pPr>
      <w:r>
        <w:rPr>
          <w:b/>
          <w:lang w:val="es-PE"/>
        </w:rPr>
        <w:t>“</w:t>
      </w:r>
      <w:r w:rsidRPr="00BE40FC">
        <w:rPr>
          <w:b/>
          <w:lang w:val="es-PE"/>
        </w:rPr>
        <w:t>Medidas indicativas y preventivas contra la manipulación fraudulenta de medidores de agua</w:t>
      </w:r>
      <w:r>
        <w:rPr>
          <w:b/>
          <w:lang w:val="es-PE"/>
        </w:rPr>
        <w:t>”</w:t>
      </w:r>
    </w:p>
    <w:p w:rsidR="00E723D6" w:rsidRDefault="00E723D6"/>
    <w:tbl>
      <w:tblPr>
        <w:tblStyle w:val="Tablaconcuadrcula"/>
        <w:tblW w:w="14472" w:type="dxa"/>
        <w:tblLayout w:type="fixed"/>
        <w:tblLook w:val="04A0" w:firstRow="1" w:lastRow="0" w:firstColumn="1" w:lastColumn="0" w:noHBand="0" w:noVBand="1"/>
      </w:tblPr>
      <w:tblGrid>
        <w:gridCol w:w="5070"/>
        <w:gridCol w:w="1417"/>
        <w:gridCol w:w="7985"/>
      </w:tblGrid>
      <w:tr w:rsidR="00E723D6" w:rsidTr="00600277">
        <w:tc>
          <w:tcPr>
            <w:tcW w:w="5070" w:type="dxa"/>
          </w:tcPr>
          <w:p w:rsidR="00E723D6" w:rsidRDefault="00E723D6" w:rsidP="00BE40FC">
            <w:pPr>
              <w:jc w:val="center"/>
              <w:rPr>
                <w:b/>
                <w:lang w:val="es-MX"/>
              </w:rPr>
            </w:pPr>
            <w:r>
              <w:rPr>
                <w:b/>
                <w:lang w:val="es-MX"/>
              </w:rPr>
              <w:t>Observación</w:t>
            </w:r>
          </w:p>
        </w:tc>
        <w:tc>
          <w:tcPr>
            <w:tcW w:w="1417" w:type="dxa"/>
          </w:tcPr>
          <w:p w:rsidR="00E723D6" w:rsidRDefault="00E723D6" w:rsidP="00BE40FC">
            <w:pPr>
              <w:jc w:val="center"/>
              <w:rPr>
                <w:b/>
                <w:lang w:val="es-MX"/>
              </w:rPr>
            </w:pPr>
            <w:r>
              <w:rPr>
                <w:b/>
                <w:lang w:val="es-MX"/>
              </w:rPr>
              <w:t>Sección</w:t>
            </w:r>
          </w:p>
        </w:tc>
        <w:tc>
          <w:tcPr>
            <w:tcW w:w="7985" w:type="dxa"/>
          </w:tcPr>
          <w:p w:rsidR="00E723D6" w:rsidRDefault="00E723D6" w:rsidP="00BE40FC">
            <w:pPr>
              <w:jc w:val="center"/>
              <w:rPr>
                <w:b/>
                <w:lang w:val="es-MX"/>
              </w:rPr>
            </w:pPr>
            <w:r>
              <w:rPr>
                <w:b/>
                <w:lang w:val="es-MX"/>
              </w:rPr>
              <w:t>Respuesta</w:t>
            </w:r>
          </w:p>
        </w:tc>
      </w:tr>
      <w:tr w:rsidR="00E723D6" w:rsidTr="00600277">
        <w:tc>
          <w:tcPr>
            <w:tcW w:w="5070" w:type="dxa"/>
          </w:tcPr>
          <w:p w:rsidR="00E723D6" w:rsidRPr="00E723D6" w:rsidRDefault="00E723D6" w:rsidP="00E723D6">
            <w:pPr>
              <w:jc w:val="both"/>
              <w:rPr>
                <w:lang w:val="es-MX"/>
              </w:rPr>
            </w:pPr>
            <w:r w:rsidRPr="00004920">
              <w:t>No</w:t>
            </w:r>
            <w:r w:rsidRPr="00E723D6">
              <w:rPr>
                <w:b/>
              </w:rPr>
              <w:t xml:space="preserve"> </w:t>
            </w:r>
            <w:r w:rsidRPr="004A342E">
              <w:t>se menciona</w:t>
            </w:r>
            <w:r>
              <w:t>n los resultados en el resumen y tampoco</w:t>
            </w:r>
            <w:r w:rsidRPr="004A342E">
              <w:t xml:space="preserve"> </w:t>
            </w:r>
            <w:r>
              <w:t>las conclusiones, aunque se dice: “………</w:t>
            </w:r>
            <w:r w:rsidRPr="00E723D6">
              <w:rPr>
                <w:i/>
                <w:lang w:val="es-MX"/>
              </w:rPr>
              <w:t>llegando a conclusiones que permiten evitar su manipulación, vandalización y robo de manera eficaz</w:t>
            </w:r>
            <w:r w:rsidRPr="00E723D6">
              <w:rPr>
                <w:lang w:val="es-MX"/>
              </w:rPr>
              <w:t>”.</w:t>
            </w:r>
          </w:p>
        </w:tc>
        <w:tc>
          <w:tcPr>
            <w:tcW w:w="1417" w:type="dxa"/>
          </w:tcPr>
          <w:p w:rsidR="00E723D6" w:rsidRDefault="00E723D6" w:rsidP="00BE40FC">
            <w:pPr>
              <w:jc w:val="center"/>
              <w:rPr>
                <w:b/>
                <w:lang w:val="es-MX"/>
              </w:rPr>
            </w:pPr>
            <w:r w:rsidRPr="001412C3">
              <w:rPr>
                <w:b/>
              </w:rPr>
              <w:t>Resumen</w:t>
            </w:r>
          </w:p>
        </w:tc>
        <w:tc>
          <w:tcPr>
            <w:tcW w:w="7985" w:type="dxa"/>
          </w:tcPr>
          <w:p w:rsidR="00E723D6" w:rsidRDefault="00E723D6" w:rsidP="00E723D6">
            <w:pPr>
              <w:jc w:val="both"/>
            </w:pPr>
            <w:r>
              <w:t>Se ha especificado conclusiones y recomendaciones de la forma siguiente:</w:t>
            </w:r>
          </w:p>
          <w:p w:rsidR="00E723D6" w:rsidRDefault="00E723D6" w:rsidP="00E723D6">
            <w:pPr>
              <w:jc w:val="both"/>
              <w:rPr>
                <w:b/>
                <w:lang w:val="es-MX"/>
              </w:rPr>
            </w:pPr>
            <w:r>
              <w:t>“</w:t>
            </w:r>
            <w:r w:rsidRPr="00E723D6">
              <w:t>llegando a la conclusión que acorde a cada situación legal hay medidas que permiten evitar su manipulación, vandalización y robo de manera eficaz. Finalmente se recomienda para cada situación legal específica cuáles son estas medidas.</w:t>
            </w:r>
            <w:r>
              <w:t>”</w:t>
            </w:r>
          </w:p>
        </w:tc>
      </w:tr>
      <w:tr w:rsidR="00E723D6" w:rsidTr="00600277">
        <w:tc>
          <w:tcPr>
            <w:tcW w:w="5070" w:type="dxa"/>
          </w:tcPr>
          <w:p w:rsidR="00600277" w:rsidRPr="0068129C" w:rsidRDefault="00E723D6" w:rsidP="00600277">
            <w:pPr>
              <w:jc w:val="both"/>
            </w:pPr>
            <w:r>
              <w:t xml:space="preserve">“no se dimensiona el problema indicado del hurto del agua a través de la manipulación de medidores, que permita ver la importancia de las medidas </w:t>
            </w:r>
            <w:r w:rsidRPr="00E723D6">
              <w:rPr>
                <w:lang w:val="es-PE"/>
              </w:rPr>
              <w:t>indicativas y preventivas</w:t>
            </w:r>
            <w:r w:rsidRPr="00E723D6">
              <w:rPr>
                <w:b/>
                <w:lang w:val="es-PE"/>
              </w:rPr>
              <w:t xml:space="preserve"> </w:t>
            </w:r>
            <w:r>
              <w:t>descritas en el trabajo presentado”</w:t>
            </w:r>
            <w:r w:rsidR="00600277">
              <w:t xml:space="preserve"> y “</w:t>
            </w:r>
            <w:r w:rsidR="00600277">
              <w:t>se recomienda incluir información sobre el tamaño del problema que significa l</w:t>
            </w:r>
            <w:r w:rsidR="00600277" w:rsidRPr="00C443BC">
              <w:t>a manipulación de medidores</w:t>
            </w:r>
            <w:r w:rsidR="00600277">
              <w:t>”</w:t>
            </w:r>
            <w:r w:rsidR="00600277">
              <w:t>.</w:t>
            </w:r>
          </w:p>
          <w:p w:rsidR="00E723D6" w:rsidRDefault="00600277" w:rsidP="00600277">
            <w:pPr>
              <w:jc w:val="both"/>
              <w:rPr>
                <w:b/>
                <w:lang w:val="es-MX"/>
              </w:rPr>
            </w:pPr>
            <w:r>
              <w:rPr>
                <w:b/>
                <w:lang w:val="es-MX"/>
              </w:rPr>
              <w:t xml:space="preserve"> </w:t>
            </w:r>
          </w:p>
        </w:tc>
        <w:tc>
          <w:tcPr>
            <w:tcW w:w="1417" w:type="dxa"/>
          </w:tcPr>
          <w:p w:rsidR="00E723D6" w:rsidRDefault="00E723D6" w:rsidP="00E723D6">
            <w:pPr>
              <w:jc w:val="center"/>
              <w:rPr>
                <w:b/>
              </w:rPr>
            </w:pPr>
            <w:r w:rsidRPr="00F46B21">
              <w:rPr>
                <w:b/>
              </w:rPr>
              <w:t>Introducción</w:t>
            </w:r>
          </w:p>
          <w:p w:rsidR="00E723D6" w:rsidRDefault="00E723D6" w:rsidP="00BE40FC">
            <w:pPr>
              <w:jc w:val="center"/>
              <w:rPr>
                <w:b/>
                <w:lang w:val="es-MX"/>
              </w:rPr>
            </w:pPr>
          </w:p>
        </w:tc>
        <w:tc>
          <w:tcPr>
            <w:tcW w:w="7985" w:type="dxa"/>
          </w:tcPr>
          <w:p w:rsidR="00E723D6" w:rsidRPr="00E723D6" w:rsidRDefault="007168F0" w:rsidP="00E723D6">
            <w:pPr>
              <w:jc w:val="both"/>
              <w:rPr>
                <w:rFonts w:ascii="Verdana" w:hAnsi="Verdana" w:cstheme="minorHAnsi"/>
                <w:bCs/>
              </w:rPr>
            </w:pPr>
            <w:r>
              <w:t xml:space="preserve">Hay efectivamente muy escasa data, por ello se ha indicado de la manera siguiente en el cuerpo del artículo: </w:t>
            </w:r>
            <w:r w:rsidR="00E723D6">
              <w:t>“</w:t>
            </w:r>
            <w:r w:rsidR="00E723D6" w:rsidRPr="00E723D6">
              <w:t>Si bien hay continuas apariciones de la temática en diarios a lo largo de América Latina, existen muy escasas publicaciones sobre el verdadero tamaño de la problemática, pero como ejemplo se puede citar que en la ciudad de Lima se registró en el primer cuatrimestre 2019 casi 8,000 casos de medidores robados, manipulados o vandalizados (García, 2019) y en las ciudades peruanas Talara y Paita la incidencia de medidores manipulados de alguna forma era de 15,4% sobre una base de más de 10,000 medidores ingresados al banco de medidores para fines de contrastación (Ziemendorff, 2017).</w:t>
            </w:r>
            <w:r w:rsidR="00E723D6">
              <w:t>”</w:t>
            </w:r>
          </w:p>
        </w:tc>
      </w:tr>
      <w:tr w:rsidR="009E0AC8" w:rsidTr="00600277">
        <w:tc>
          <w:tcPr>
            <w:tcW w:w="5070" w:type="dxa"/>
          </w:tcPr>
          <w:p w:rsidR="009E0AC8" w:rsidRPr="009E0AC8" w:rsidRDefault="009E0AC8" w:rsidP="00600277">
            <w:pPr>
              <w:jc w:val="both"/>
              <w:rPr>
                <w:lang w:val="es-MX"/>
              </w:rPr>
            </w:pPr>
            <w:r w:rsidRPr="00004920">
              <w:t>No</w:t>
            </w:r>
            <w:r>
              <w:t xml:space="preserve"> se incluye un apartado de objetivos, sin embargo en el resumen se presenta el texto siguiente, que </w:t>
            </w:r>
            <w:r>
              <w:rPr>
                <w:lang w:val="es-MX"/>
              </w:rPr>
              <w:t>es consistente con el desarrollo del trabajo</w:t>
            </w:r>
            <w:r>
              <w:t>: “</w:t>
            </w:r>
            <w:r w:rsidRPr="00CD7D83">
              <w:rPr>
                <w:i/>
                <w:lang w:val="es-MX"/>
              </w:rPr>
              <w:t xml:space="preserve">En el presente artículo se analiza las formas de manipulación de medidores, señalando los puntos vulnerables de estos. Luego se procede a analizar y comparar las medidas indicativas y preventivas existentes para proteger los medidores, llegando a conclusiones que permiten evitar su manipulación, </w:t>
            </w:r>
            <w:r w:rsidRPr="00CD7D83">
              <w:rPr>
                <w:i/>
                <w:lang w:val="es-MX"/>
              </w:rPr>
              <w:lastRenderedPageBreak/>
              <w:t>vandalización y robo de manera eficaz</w:t>
            </w:r>
            <w:r>
              <w:rPr>
                <w:i/>
                <w:lang w:val="es-MX"/>
              </w:rPr>
              <w:t>”</w:t>
            </w:r>
            <w:r w:rsidRPr="00CD7D83">
              <w:rPr>
                <w:lang w:val="es-MX"/>
              </w:rPr>
              <w:t>.</w:t>
            </w:r>
            <w:bookmarkStart w:id="0" w:name="_GoBack"/>
            <w:bookmarkEnd w:id="0"/>
          </w:p>
        </w:tc>
        <w:tc>
          <w:tcPr>
            <w:tcW w:w="1417" w:type="dxa"/>
          </w:tcPr>
          <w:p w:rsidR="009E0AC8" w:rsidRDefault="009E0AC8" w:rsidP="00DA1355">
            <w:pPr>
              <w:jc w:val="center"/>
              <w:rPr>
                <w:b/>
              </w:rPr>
            </w:pPr>
            <w:r w:rsidRPr="00F46B21">
              <w:rPr>
                <w:b/>
              </w:rPr>
              <w:lastRenderedPageBreak/>
              <w:t>Introducción</w:t>
            </w:r>
          </w:p>
          <w:p w:rsidR="009E0AC8" w:rsidRDefault="009E0AC8" w:rsidP="00DA1355">
            <w:pPr>
              <w:jc w:val="center"/>
              <w:rPr>
                <w:b/>
                <w:lang w:val="es-MX"/>
              </w:rPr>
            </w:pPr>
          </w:p>
        </w:tc>
        <w:tc>
          <w:tcPr>
            <w:tcW w:w="7985" w:type="dxa"/>
          </w:tcPr>
          <w:p w:rsidR="009E0AC8" w:rsidRDefault="009E0AC8" w:rsidP="00E723D6">
            <w:pPr>
              <w:jc w:val="both"/>
            </w:pPr>
            <w:r>
              <w:rPr>
                <w:lang w:val="es-MX"/>
              </w:rPr>
              <w:t xml:space="preserve">Se incluyó en la introducción de manera más clara: </w:t>
            </w:r>
            <w:r>
              <w:t>“</w:t>
            </w:r>
            <w:r w:rsidRPr="009E0AC8">
              <w:t>El objetivo del estudio es averiguar cuáles son las formas más efectivas de proteger este tipo de medidores contra los diferentes tipos de manipulación</w:t>
            </w:r>
            <w:r>
              <w:t>”</w:t>
            </w:r>
            <w:r w:rsidRPr="009E0AC8">
              <w:t>.</w:t>
            </w:r>
          </w:p>
        </w:tc>
      </w:tr>
      <w:tr w:rsidR="009E0AC8" w:rsidTr="00600277">
        <w:tc>
          <w:tcPr>
            <w:tcW w:w="5070" w:type="dxa"/>
          </w:tcPr>
          <w:p w:rsidR="009E0AC8" w:rsidRPr="007168F0" w:rsidRDefault="009E0AC8" w:rsidP="007168F0">
            <w:pPr>
              <w:jc w:val="both"/>
              <w:rPr>
                <w:b/>
                <w:bCs/>
                <w:i/>
                <w:iCs/>
                <w:lang w:val="es-PE"/>
              </w:rPr>
            </w:pPr>
            <w:r w:rsidRPr="00004920">
              <w:lastRenderedPageBreak/>
              <w:t>No</w:t>
            </w:r>
            <w:r w:rsidRPr="00E42331">
              <w:t xml:space="preserve"> </w:t>
            </w:r>
            <w:r>
              <w:t>se describe</w:t>
            </w:r>
            <w:r w:rsidRPr="00AF5D9C">
              <w:t xml:space="preserve"> cómo se llevó a cabo el estudio o investigación</w:t>
            </w:r>
            <w:r w:rsidRPr="007168F0">
              <w:rPr>
                <w:b/>
              </w:rPr>
              <w:t>.</w:t>
            </w:r>
            <w:r>
              <w:t xml:space="preserve"> El documento pasa directamente a tratar los apartados: formas de manipulación de medidores de velocidad; vulnerabilidades del medidor; medidas indicativas y preventivas, </w:t>
            </w:r>
            <w:r w:rsidRPr="00870B81">
              <w:t>dispositivos de seguridad preventivos</w:t>
            </w:r>
            <w:r>
              <w:t>.</w:t>
            </w:r>
          </w:p>
        </w:tc>
        <w:tc>
          <w:tcPr>
            <w:tcW w:w="1417" w:type="dxa"/>
          </w:tcPr>
          <w:p w:rsidR="009E0AC8" w:rsidRPr="007168F0" w:rsidRDefault="009E0AC8" w:rsidP="007168F0">
            <w:pPr>
              <w:jc w:val="center"/>
              <w:rPr>
                <w:b/>
              </w:rPr>
            </w:pPr>
            <w:r w:rsidRPr="007168F0">
              <w:rPr>
                <w:b/>
              </w:rPr>
              <w:t>Materiales y métodos</w:t>
            </w:r>
          </w:p>
          <w:p w:rsidR="009E0AC8" w:rsidRPr="007168F0" w:rsidRDefault="009E0AC8" w:rsidP="00BE40FC">
            <w:pPr>
              <w:jc w:val="center"/>
              <w:rPr>
                <w:b/>
                <w:lang w:val="es-PE"/>
              </w:rPr>
            </w:pPr>
          </w:p>
        </w:tc>
        <w:tc>
          <w:tcPr>
            <w:tcW w:w="7985" w:type="dxa"/>
          </w:tcPr>
          <w:p w:rsidR="009E0AC8" w:rsidRDefault="009E0AC8" w:rsidP="007168F0">
            <w:pPr>
              <w:jc w:val="both"/>
              <w:rPr>
                <w:b/>
                <w:lang w:val="es-MX"/>
              </w:rPr>
            </w:pPr>
            <w:r w:rsidRPr="007168F0">
              <w:t>Se ha incluido el acápite.</w:t>
            </w:r>
          </w:p>
        </w:tc>
      </w:tr>
      <w:tr w:rsidR="009E0AC8" w:rsidTr="00600277">
        <w:tc>
          <w:tcPr>
            <w:tcW w:w="5070" w:type="dxa"/>
          </w:tcPr>
          <w:p w:rsidR="009E0AC8" w:rsidRPr="002C387E" w:rsidRDefault="009E0AC8" w:rsidP="007168F0">
            <w:pPr>
              <w:jc w:val="both"/>
              <w:rPr>
                <w:lang w:val="es-MX"/>
              </w:rPr>
            </w:pPr>
            <w:r w:rsidRPr="0049794F">
              <w:rPr>
                <w:lang w:val="es-MX"/>
              </w:rPr>
              <w:t>No</w:t>
            </w:r>
            <w:r w:rsidRPr="009A376E">
              <w:rPr>
                <w:b/>
                <w:lang w:val="es-MX"/>
              </w:rPr>
              <w:t xml:space="preserve"> </w:t>
            </w:r>
            <w:r w:rsidRPr="00DE2FC5">
              <w:rPr>
                <w:lang w:val="es-MX"/>
              </w:rPr>
              <w:t xml:space="preserve">se </w:t>
            </w:r>
            <w:r>
              <w:rPr>
                <w:lang w:val="es-MX"/>
              </w:rPr>
              <w:t>incluye</w:t>
            </w:r>
            <w:r w:rsidRPr="00DE2FC5">
              <w:rPr>
                <w:lang w:val="es-MX"/>
              </w:rPr>
              <w:t xml:space="preserve"> un apartado de resultados</w:t>
            </w:r>
            <w:r w:rsidRPr="009A376E">
              <w:rPr>
                <w:b/>
                <w:lang w:val="es-MX"/>
              </w:rPr>
              <w:t>.</w:t>
            </w:r>
            <w:r>
              <w:rPr>
                <w:lang w:val="es-MX"/>
              </w:rPr>
              <w:t xml:space="preserve"> Las aportaciones </w:t>
            </w:r>
            <w:r w:rsidRPr="009A376E">
              <w:rPr>
                <w:lang w:val="es-MX"/>
              </w:rPr>
              <w:t xml:space="preserve">derivadas del </w:t>
            </w:r>
            <w:r>
              <w:rPr>
                <w:lang w:val="es-MX"/>
              </w:rPr>
              <w:t>trabajo presentado están implícitas en los temas desarrollados.</w:t>
            </w:r>
          </w:p>
        </w:tc>
        <w:tc>
          <w:tcPr>
            <w:tcW w:w="1417" w:type="dxa"/>
          </w:tcPr>
          <w:p w:rsidR="009E0AC8" w:rsidRPr="007168F0" w:rsidRDefault="009E0AC8" w:rsidP="007168F0">
            <w:pPr>
              <w:jc w:val="center"/>
              <w:rPr>
                <w:b/>
              </w:rPr>
            </w:pPr>
            <w:r>
              <w:rPr>
                <w:b/>
              </w:rPr>
              <w:t>Resultados</w:t>
            </w:r>
          </w:p>
        </w:tc>
        <w:tc>
          <w:tcPr>
            <w:tcW w:w="7985" w:type="dxa"/>
          </w:tcPr>
          <w:p w:rsidR="009E0AC8" w:rsidRPr="002C387E" w:rsidRDefault="009E0AC8" w:rsidP="002C387E">
            <w:pPr>
              <w:rPr>
                <w:b/>
              </w:rPr>
            </w:pPr>
            <w:r>
              <w:t xml:space="preserve">Se procedió a convertir todos los apartados que presentan los resultados en subsecciones del apartado </w:t>
            </w:r>
            <w:r w:rsidRPr="002C387E">
              <w:rPr>
                <w:b/>
              </w:rPr>
              <w:t>resultados</w:t>
            </w:r>
            <w:r>
              <w:t xml:space="preserve"> </w:t>
            </w:r>
            <w:r w:rsidRPr="002C387E">
              <w:t>(</w:t>
            </w:r>
            <w:r>
              <w:t xml:space="preserve">Formas de manipulación, Puntos vulnerables, </w:t>
            </w:r>
            <w:r w:rsidRPr="002C387E">
              <w:t>Medidas indicativas</w:t>
            </w:r>
            <w:r w:rsidRPr="002C387E">
              <w:t xml:space="preserve">, </w:t>
            </w:r>
            <w:r w:rsidRPr="002C387E">
              <w:t>Medidas preventivas</w:t>
            </w:r>
            <w:r w:rsidRPr="002C387E">
              <w:t xml:space="preserve">, </w:t>
            </w:r>
            <w:r w:rsidRPr="002C387E">
              <w:t>Dispositivos de seguridad</w:t>
            </w:r>
            <w:r w:rsidRPr="002C387E">
              <w:t>)</w:t>
            </w:r>
          </w:p>
        </w:tc>
      </w:tr>
      <w:tr w:rsidR="009E0AC8" w:rsidTr="00600277">
        <w:tc>
          <w:tcPr>
            <w:tcW w:w="5070" w:type="dxa"/>
          </w:tcPr>
          <w:p w:rsidR="009E0AC8" w:rsidRPr="007168F0" w:rsidRDefault="009E0AC8" w:rsidP="007168F0">
            <w:pPr>
              <w:jc w:val="both"/>
              <w:rPr>
                <w:b/>
                <w:bCs/>
                <w:i/>
                <w:iCs/>
                <w:lang w:val="es-PE"/>
              </w:rPr>
            </w:pPr>
            <w:r>
              <w:t>En la Página 11 se mencionan “</w:t>
            </w:r>
            <w:r w:rsidRPr="007168F0">
              <w:rPr>
                <w:bCs/>
                <w:i/>
                <w:lang w:val="es-PE"/>
              </w:rPr>
              <w:t>unos ensayos que se realizaron en EMAPA SAN MARTIN (Perú)……</w:t>
            </w:r>
            <w:r w:rsidRPr="007168F0">
              <w:rPr>
                <w:bCs/>
                <w:lang w:val="es-PE"/>
              </w:rPr>
              <w:t>.” Sobre el uso de sellos indicadores de magnetismo. No se incluye la referencia del reporte de los ensayos, donde el lector interesado pueda encontrar mayores detalles de las pruebas realizadas</w:t>
            </w:r>
            <w:r w:rsidRPr="007168F0">
              <w:rPr>
                <w:bCs/>
              </w:rPr>
              <w:t>.</w:t>
            </w:r>
          </w:p>
        </w:tc>
        <w:tc>
          <w:tcPr>
            <w:tcW w:w="1417" w:type="dxa"/>
          </w:tcPr>
          <w:p w:rsidR="009E0AC8" w:rsidRPr="007168F0" w:rsidRDefault="009E0AC8" w:rsidP="007168F0">
            <w:pPr>
              <w:jc w:val="center"/>
              <w:rPr>
                <w:b/>
              </w:rPr>
            </w:pPr>
            <w:r w:rsidRPr="007168F0">
              <w:rPr>
                <w:b/>
              </w:rPr>
              <w:t>Medidas indicativas</w:t>
            </w:r>
          </w:p>
          <w:p w:rsidR="009E0AC8" w:rsidRPr="007168F0" w:rsidRDefault="009E0AC8" w:rsidP="007168F0">
            <w:pPr>
              <w:jc w:val="center"/>
              <w:rPr>
                <w:b/>
              </w:rPr>
            </w:pPr>
          </w:p>
        </w:tc>
        <w:tc>
          <w:tcPr>
            <w:tcW w:w="7985" w:type="dxa"/>
          </w:tcPr>
          <w:p w:rsidR="009E0AC8" w:rsidRPr="007168F0" w:rsidRDefault="009E0AC8" w:rsidP="007168F0">
            <w:pPr>
              <w:rPr>
                <w:lang w:val="es-MX"/>
              </w:rPr>
            </w:pPr>
            <w:r w:rsidRPr="007168F0">
              <w:rPr>
                <w:lang w:val="es-MX"/>
              </w:rPr>
              <w:t>Se ha incluido la referencia al informe de reporte de ensayos.</w:t>
            </w:r>
          </w:p>
        </w:tc>
      </w:tr>
      <w:tr w:rsidR="009E0AC8" w:rsidTr="00600277">
        <w:tc>
          <w:tcPr>
            <w:tcW w:w="5070" w:type="dxa"/>
          </w:tcPr>
          <w:p w:rsidR="009E0AC8" w:rsidRPr="007168F0" w:rsidRDefault="009E0AC8" w:rsidP="007168F0">
            <w:pPr>
              <w:jc w:val="both"/>
              <w:rPr>
                <w:b/>
                <w:bCs/>
                <w:i/>
                <w:iCs/>
              </w:rPr>
            </w:pPr>
            <w:r w:rsidRPr="007168F0">
              <w:rPr>
                <w:lang w:val="es-PE"/>
              </w:rPr>
              <w:t xml:space="preserve">En la página 13 se </w:t>
            </w:r>
            <w:r>
              <w:t>mencionan ensayos de escudos antimagnéticos: “</w:t>
            </w:r>
            <w:r w:rsidRPr="007168F0">
              <w:rPr>
                <w:bCs/>
                <w:i/>
                <w:lang w:val="es-PE"/>
              </w:rPr>
              <w:t>Para conocer la efectividad de estos escudos se aplicó tres imanes de tamaños diferentes a cuatro diferentes medidores de ½”, en los caudales de ensayo estándar (Tabla 3))</w:t>
            </w:r>
            <w:r w:rsidRPr="007168F0">
              <w:rPr>
                <w:bCs/>
                <w:lang w:val="es-PE"/>
              </w:rPr>
              <w:t>”</w:t>
            </w:r>
            <w:r>
              <w:t>. Igual que en el punto anterior, n</w:t>
            </w:r>
            <w:r w:rsidRPr="007168F0">
              <w:rPr>
                <w:bCs/>
                <w:lang w:val="es-PE"/>
              </w:rPr>
              <w:t xml:space="preserve">o se incluye la referencia del reporte de estos ensayos, en el que se indique la </w:t>
            </w:r>
            <w:r w:rsidRPr="007168F0">
              <w:rPr>
                <w:bCs/>
              </w:rPr>
              <w:t>norma de medidores que sirvió de base para realizarlos (por ejemplo ISO 4064-1, u otra), las referencias técnicas de los imanes utilizados, la instalación experimental, etcétera.</w:t>
            </w:r>
          </w:p>
        </w:tc>
        <w:tc>
          <w:tcPr>
            <w:tcW w:w="1417" w:type="dxa"/>
          </w:tcPr>
          <w:p w:rsidR="009E0AC8" w:rsidRPr="007168F0" w:rsidRDefault="009E0AC8" w:rsidP="007168F0">
            <w:pPr>
              <w:jc w:val="center"/>
              <w:rPr>
                <w:b/>
              </w:rPr>
            </w:pPr>
            <w:r w:rsidRPr="007168F0">
              <w:rPr>
                <w:b/>
              </w:rPr>
              <w:t>Medidas preventivas incorporadas en el medidor</w:t>
            </w:r>
          </w:p>
          <w:p w:rsidR="009E0AC8" w:rsidRPr="007168F0" w:rsidRDefault="009E0AC8" w:rsidP="007168F0">
            <w:pPr>
              <w:jc w:val="center"/>
              <w:rPr>
                <w:b/>
              </w:rPr>
            </w:pPr>
          </w:p>
        </w:tc>
        <w:tc>
          <w:tcPr>
            <w:tcW w:w="7985" w:type="dxa"/>
          </w:tcPr>
          <w:p w:rsidR="009E0AC8" w:rsidRDefault="009E0AC8" w:rsidP="007168F0">
            <w:pPr>
              <w:rPr>
                <w:b/>
                <w:lang w:val="es-MX"/>
              </w:rPr>
            </w:pPr>
            <w:r w:rsidRPr="007168F0">
              <w:rPr>
                <w:lang w:val="es-MX"/>
              </w:rPr>
              <w:t>Se ha incluido la referencia al informe de reporte de ensayos.</w:t>
            </w:r>
          </w:p>
        </w:tc>
      </w:tr>
      <w:tr w:rsidR="009E0AC8" w:rsidTr="00600277">
        <w:tc>
          <w:tcPr>
            <w:tcW w:w="5070" w:type="dxa"/>
          </w:tcPr>
          <w:p w:rsidR="009E0AC8" w:rsidRPr="00D372E2" w:rsidRDefault="009E0AC8" w:rsidP="00600277">
            <w:pPr>
              <w:jc w:val="both"/>
              <w:rPr>
                <w:bCs/>
                <w:lang w:val="es-PE"/>
              </w:rPr>
            </w:pPr>
            <w:r>
              <w:t xml:space="preserve">Revisar en el cuerpo del documento: </w:t>
            </w:r>
            <w:r w:rsidRPr="00D372E2">
              <w:rPr>
                <w:bCs/>
                <w:lang w:val="es-PE"/>
              </w:rPr>
              <w:t xml:space="preserve">(González et al. 50-51). </w:t>
            </w:r>
          </w:p>
          <w:p w:rsidR="009E0AC8" w:rsidRPr="007168F0" w:rsidRDefault="009E0AC8" w:rsidP="007168F0">
            <w:pPr>
              <w:jc w:val="both"/>
              <w:rPr>
                <w:lang w:val="es-PE"/>
              </w:rPr>
            </w:pPr>
          </w:p>
        </w:tc>
        <w:tc>
          <w:tcPr>
            <w:tcW w:w="1417" w:type="dxa"/>
          </w:tcPr>
          <w:p w:rsidR="009E0AC8" w:rsidRPr="007168F0" w:rsidRDefault="009E0AC8" w:rsidP="00600277">
            <w:pPr>
              <w:jc w:val="center"/>
              <w:rPr>
                <w:b/>
              </w:rPr>
            </w:pPr>
            <w:r w:rsidRPr="007168F0">
              <w:rPr>
                <w:b/>
              </w:rPr>
              <w:t xml:space="preserve">Medidas preventivas incorporadas en el </w:t>
            </w:r>
            <w:r w:rsidRPr="007168F0">
              <w:rPr>
                <w:b/>
              </w:rPr>
              <w:lastRenderedPageBreak/>
              <w:t>medidor</w:t>
            </w:r>
          </w:p>
        </w:tc>
        <w:tc>
          <w:tcPr>
            <w:tcW w:w="7985" w:type="dxa"/>
          </w:tcPr>
          <w:p w:rsidR="009E0AC8" w:rsidRPr="007168F0" w:rsidRDefault="009E0AC8" w:rsidP="007168F0">
            <w:pPr>
              <w:rPr>
                <w:lang w:val="es-MX"/>
              </w:rPr>
            </w:pPr>
            <w:r>
              <w:lastRenderedPageBreak/>
              <w:t>Se ha corregido.</w:t>
            </w:r>
          </w:p>
        </w:tc>
      </w:tr>
      <w:tr w:rsidR="009E0AC8" w:rsidTr="00600277">
        <w:tc>
          <w:tcPr>
            <w:tcW w:w="5070" w:type="dxa"/>
          </w:tcPr>
          <w:p w:rsidR="009E0AC8" w:rsidRPr="007168F0" w:rsidRDefault="009E0AC8" w:rsidP="007168F0">
            <w:pPr>
              <w:jc w:val="both"/>
              <w:rPr>
                <w:b/>
                <w:bCs/>
                <w:i/>
                <w:iCs/>
                <w:lang w:val="es-PE"/>
              </w:rPr>
            </w:pPr>
            <w:r w:rsidRPr="007168F0">
              <w:rPr>
                <w:lang w:val="es-PE"/>
              </w:rPr>
              <w:lastRenderedPageBreak/>
              <w:t xml:space="preserve">En el tema de </w:t>
            </w:r>
            <w:r>
              <w:t>dispositivos de seguridad preventivos, en la página 17, se refieren otros ensayos sobre la acción de imanes en medidores protegidos con “</w:t>
            </w:r>
            <w:r w:rsidRPr="007168F0">
              <w:rPr>
                <w:i/>
              </w:rPr>
              <w:t>casco</w:t>
            </w:r>
            <w:r>
              <w:t>” y “</w:t>
            </w:r>
            <w:r w:rsidRPr="007168F0">
              <w:rPr>
                <w:i/>
              </w:rPr>
              <w:t>seguridad total</w:t>
            </w:r>
            <w:r>
              <w:t>”: “</w:t>
            </w:r>
            <w:r w:rsidRPr="007168F0">
              <w:rPr>
                <w:bCs/>
                <w:i/>
                <w:lang w:val="es-PE"/>
              </w:rPr>
              <w:t>Se realizó ensayos con el uso de los mismos medidores y los mismos imanes mencionados en el acápite anterior, con la diferencia que se puso encima los dispositivos de seguridad mencionados. El resultado fue que ambos dispositivos solo permiten un subregistro pequeño en medidores sin protección antimagnética en el caudal mínimo y con el imán más grande (Tabla 5)</w:t>
            </w:r>
            <w:r w:rsidRPr="007168F0">
              <w:rPr>
                <w:bCs/>
                <w:lang w:val="es-PE"/>
              </w:rPr>
              <w:t>”</w:t>
            </w:r>
            <w:r>
              <w:t>. Igual que en las otras pruebas no se incluye la referencia de su reporte.</w:t>
            </w:r>
          </w:p>
        </w:tc>
        <w:tc>
          <w:tcPr>
            <w:tcW w:w="1417" w:type="dxa"/>
          </w:tcPr>
          <w:p w:rsidR="009E0AC8" w:rsidRPr="00600277" w:rsidRDefault="009E0AC8" w:rsidP="00600277">
            <w:pPr>
              <w:jc w:val="center"/>
              <w:rPr>
                <w:b/>
              </w:rPr>
            </w:pPr>
            <w:r w:rsidRPr="00600277">
              <w:rPr>
                <w:b/>
              </w:rPr>
              <w:t>Dispositivos de seguridad preventivas</w:t>
            </w:r>
          </w:p>
          <w:p w:rsidR="009E0AC8" w:rsidRPr="007168F0" w:rsidRDefault="009E0AC8" w:rsidP="007168F0">
            <w:pPr>
              <w:jc w:val="center"/>
              <w:rPr>
                <w:b/>
              </w:rPr>
            </w:pPr>
          </w:p>
        </w:tc>
        <w:tc>
          <w:tcPr>
            <w:tcW w:w="7985" w:type="dxa"/>
          </w:tcPr>
          <w:p w:rsidR="009E0AC8" w:rsidRPr="007168F0" w:rsidRDefault="009E0AC8" w:rsidP="007168F0">
            <w:pPr>
              <w:rPr>
                <w:lang w:val="es-MX"/>
              </w:rPr>
            </w:pPr>
            <w:r w:rsidRPr="007168F0">
              <w:rPr>
                <w:lang w:val="es-MX"/>
              </w:rPr>
              <w:t>Se ha incluido la referencia al informe de reporte de ensayos.</w:t>
            </w:r>
          </w:p>
        </w:tc>
      </w:tr>
      <w:tr w:rsidR="009E0AC8" w:rsidTr="00600277">
        <w:tc>
          <w:tcPr>
            <w:tcW w:w="5070" w:type="dxa"/>
          </w:tcPr>
          <w:p w:rsidR="009E0AC8" w:rsidRPr="00600277" w:rsidRDefault="009E0AC8" w:rsidP="00600277">
            <w:pPr>
              <w:jc w:val="both"/>
            </w:pPr>
            <w:r>
              <w:t xml:space="preserve">Revisar en el cuerpo del documento: </w:t>
            </w:r>
            <w:r w:rsidRPr="00D372E2">
              <w:rPr>
                <w:bCs/>
                <w:lang w:val="es-PE"/>
              </w:rPr>
              <w:t>SEDAPAL, 2008)</w:t>
            </w:r>
          </w:p>
        </w:tc>
        <w:tc>
          <w:tcPr>
            <w:tcW w:w="1417" w:type="dxa"/>
          </w:tcPr>
          <w:p w:rsidR="009E0AC8" w:rsidRPr="00600277" w:rsidRDefault="009E0AC8" w:rsidP="00600277">
            <w:pPr>
              <w:jc w:val="center"/>
              <w:rPr>
                <w:b/>
              </w:rPr>
            </w:pPr>
            <w:r w:rsidRPr="00600277">
              <w:rPr>
                <w:b/>
              </w:rPr>
              <w:t>Dispositivos de seguridad preventivas</w:t>
            </w:r>
          </w:p>
        </w:tc>
        <w:tc>
          <w:tcPr>
            <w:tcW w:w="7985" w:type="dxa"/>
          </w:tcPr>
          <w:p w:rsidR="009E0AC8" w:rsidRDefault="009E0AC8" w:rsidP="00600277">
            <w:pPr>
              <w:rPr>
                <w:b/>
                <w:lang w:val="es-MX"/>
              </w:rPr>
            </w:pPr>
            <w:r>
              <w:t>Se ha corregido.</w:t>
            </w:r>
          </w:p>
        </w:tc>
      </w:tr>
      <w:tr w:rsidR="009E0AC8" w:rsidTr="00600277">
        <w:tc>
          <w:tcPr>
            <w:tcW w:w="5070" w:type="dxa"/>
          </w:tcPr>
          <w:p w:rsidR="009E0AC8" w:rsidRDefault="009E0AC8" w:rsidP="00BE40FC">
            <w:pPr>
              <w:jc w:val="center"/>
              <w:rPr>
                <w:b/>
                <w:lang w:val="es-MX"/>
              </w:rPr>
            </w:pPr>
            <w:r>
              <w:rPr>
                <w:bCs/>
                <w:lang w:val="es-PE"/>
              </w:rPr>
              <w:t>E</w:t>
            </w:r>
            <w:r>
              <w:t xml:space="preserve">n la bibliografía falta </w:t>
            </w:r>
            <w:r w:rsidRPr="00F64332">
              <w:rPr>
                <w:bCs/>
                <w:lang w:val="es-PE"/>
              </w:rPr>
              <w:t>(González et al. 50-51)</w:t>
            </w:r>
            <w:r>
              <w:rPr>
                <w:bCs/>
                <w:lang w:val="es-PE"/>
              </w:rPr>
              <w:t>.</w:t>
            </w:r>
          </w:p>
        </w:tc>
        <w:tc>
          <w:tcPr>
            <w:tcW w:w="1417" w:type="dxa"/>
          </w:tcPr>
          <w:p w:rsidR="009E0AC8" w:rsidRPr="00E723D6" w:rsidRDefault="009E0AC8" w:rsidP="00E723D6">
            <w:pPr>
              <w:rPr>
                <w:b/>
              </w:rPr>
            </w:pPr>
            <w:r w:rsidRPr="00E723D6">
              <w:rPr>
                <w:b/>
              </w:rPr>
              <w:t>Referencias</w:t>
            </w:r>
          </w:p>
          <w:p w:rsidR="009E0AC8" w:rsidRDefault="009E0AC8" w:rsidP="00BE40FC">
            <w:pPr>
              <w:jc w:val="center"/>
              <w:rPr>
                <w:b/>
                <w:lang w:val="es-MX"/>
              </w:rPr>
            </w:pPr>
          </w:p>
        </w:tc>
        <w:tc>
          <w:tcPr>
            <w:tcW w:w="7985" w:type="dxa"/>
          </w:tcPr>
          <w:p w:rsidR="009E0AC8" w:rsidRDefault="009E0AC8" w:rsidP="00E723D6">
            <w:pPr>
              <w:jc w:val="both"/>
              <w:rPr>
                <w:b/>
                <w:lang w:val="es-MX"/>
              </w:rPr>
            </w:pPr>
            <w:r w:rsidRPr="00E723D6">
              <w:t>Se ha incluido</w:t>
            </w:r>
            <w:r>
              <w:t>.</w:t>
            </w:r>
          </w:p>
        </w:tc>
      </w:tr>
      <w:tr w:rsidR="009E0AC8" w:rsidTr="00600277">
        <w:tc>
          <w:tcPr>
            <w:tcW w:w="5070" w:type="dxa"/>
          </w:tcPr>
          <w:p w:rsidR="009E0AC8" w:rsidRDefault="009E0AC8" w:rsidP="00BE40FC">
            <w:pPr>
              <w:jc w:val="center"/>
              <w:rPr>
                <w:bCs/>
                <w:lang w:val="es-PE"/>
              </w:rPr>
            </w:pPr>
            <w:r>
              <w:t xml:space="preserve">Incluir </w:t>
            </w:r>
            <w:r w:rsidRPr="00726F63">
              <w:t xml:space="preserve">las referencias </w:t>
            </w:r>
            <w:r>
              <w:t xml:space="preserve">recomendadas </w:t>
            </w:r>
            <w:r w:rsidRPr="00726F63">
              <w:t xml:space="preserve">de los ensayos </w:t>
            </w:r>
            <w:r>
              <w:t>realizados en medidores</w:t>
            </w:r>
          </w:p>
        </w:tc>
        <w:tc>
          <w:tcPr>
            <w:tcW w:w="1417" w:type="dxa"/>
          </w:tcPr>
          <w:p w:rsidR="009E0AC8" w:rsidRPr="00E723D6" w:rsidRDefault="009E0AC8" w:rsidP="00E723D6">
            <w:pPr>
              <w:rPr>
                <w:b/>
              </w:rPr>
            </w:pPr>
            <w:r w:rsidRPr="00E723D6">
              <w:rPr>
                <w:b/>
              </w:rPr>
              <w:t>Referencias</w:t>
            </w:r>
          </w:p>
        </w:tc>
        <w:tc>
          <w:tcPr>
            <w:tcW w:w="7985" w:type="dxa"/>
          </w:tcPr>
          <w:p w:rsidR="009E0AC8" w:rsidRPr="00E723D6" w:rsidRDefault="009E0AC8" w:rsidP="00E723D6">
            <w:pPr>
              <w:jc w:val="both"/>
            </w:pPr>
            <w:r w:rsidRPr="00E723D6">
              <w:t>Se ha incluido</w:t>
            </w:r>
            <w:r>
              <w:t>.</w:t>
            </w:r>
          </w:p>
        </w:tc>
      </w:tr>
      <w:tr w:rsidR="009E0AC8" w:rsidTr="00600277">
        <w:tc>
          <w:tcPr>
            <w:tcW w:w="5070" w:type="dxa"/>
          </w:tcPr>
          <w:p w:rsidR="009E0AC8" w:rsidRPr="00FA0599" w:rsidRDefault="009E0AC8" w:rsidP="00600277">
            <w:pPr>
              <w:jc w:val="center"/>
            </w:pPr>
            <w:r w:rsidRPr="00600277">
              <w:rPr>
                <w:lang w:val="es-PE"/>
              </w:rPr>
              <w:t>En la bibliografía revisar dónde aplican las cursivas. Van el título de la publicación, no en el título del trabajo.</w:t>
            </w:r>
          </w:p>
          <w:p w:rsidR="009E0AC8" w:rsidRDefault="009E0AC8" w:rsidP="00BE40FC">
            <w:pPr>
              <w:jc w:val="center"/>
            </w:pPr>
          </w:p>
        </w:tc>
        <w:tc>
          <w:tcPr>
            <w:tcW w:w="1417" w:type="dxa"/>
          </w:tcPr>
          <w:p w:rsidR="009E0AC8" w:rsidRPr="00E723D6" w:rsidRDefault="009E0AC8" w:rsidP="00E723D6">
            <w:pPr>
              <w:rPr>
                <w:b/>
              </w:rPr>
            </w:pPr>
            <w:r>
              <w:rPr>
                <w:b/>
              </w:rPr>
              <w:t>Referencias</w:t>
            </w:r>
          </w:p>
        </w:tc>
        <w:tc>
          <w:tcPr>
            <w:tcW w:w="7985" w:type="dxa"/>
          </w:tcPr>
          <w:p w:rsidR="009E0AC8" w:rsidRPr="00E723D6" w:rsidRDefault="009E0AC8" w:rsidP="00E723D6">
            <w:pPr>
              <w:jc w:val="both"/>
            </w:pPr>
            <w:r>
              <w:t>Se ha corregido.</w:t>
            </w:r>
          </w:p>
        </w:tc>
      </w:tr>
    </w:tbl>
    <w:p w:rsidR="0068129C" w:rsidRPr="0068129C" w:rsidRDefault="00C72002" w:rsidP="00600277">
      <w:pPr>
        <w:jc w:val="both"/>
      </w:pPr>
      <w:r>
        <w:t xml:space="preserve"> </w:t>
      </w:r>
    </w:p>
    <w:sectPr w:rsidR="0068129C" w:rsidRPr="0068129C" w:rsidSect="00E723D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298"/>
    <w:multiLevelType w:val="hybridMultilevel"/>
    <w:tmpl w:val="1A4AE4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C505DDD"/>
    <w:multiLevelType w:val="multilevel"/>
    <w:tmpl w:val="6D6E9766"/>
    <w:lvl w:ilvl="0">
      <w:start w:val="1"/>
      <w:numFmt w:val="decimal"/>
      <w:pStyle w:val="Ttu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DA45111"/>
    <w:multiLevelType w:val="hybridMultilevel"/>
    <w:tmpl w:val="8C1EBF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DF14352"/>
    <w:multiLevelType w:val="hybridMultilevel"/>
    <w:tmpl w:val="1550EAFE"/>
    <w:lvl w:ilvl="0" w:tplc="C980E452">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34B5547E"/>
    <w:multiLevelType w:val="hybridMultilevel"/>
    <w:tmpl w:val="7690F74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3C6B0D51"/>
    <w:multiLevelType w:val="hybridMultilevel"/>
    <w:tmpl w:val="1A4427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991713F"/>
    <w:multiLevelType w:val="hybridMultilevel"/>
    <w:tmpl w:val="0A80188C"/>
    <w:lvl w:ilvl="0" w:tplc="6164CF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413244D"/>
    <w:multiLevelType w:val="hybridMultilevel"/>
    <w:tmpl w:val="95F8C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BB877B7"/>
    <w:multiLevelType w:val="hybridMultilevel"/>
    <w:tmpl w:val="07660E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777046D3"/>
    <w:multiLevelType w:val="hybridMultilevel"/>
    <w:tmpl w:val="039A7606"/>
    <w:lvl w:ilvl="0" w:tplc="44609B80">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5"/>
  </w:num>
  <w:num w:numId="6">
    <w:abstractNumId w:val="2"/>
  </w:num>
  <w:num w:numId="7">
    <w:abstractNumId w:val="9"/>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FC"/>
    <w:rsid w:val="00004920"/>
    <w:rsid w:val="00005A2A"/>
    <w:rsid w:val="00014684"/>
    <w:rsid w:val="00032825"/>
    <w:rsid w:val="00052DDC"/>
    <w:rsid w:val="00070802"/>
    <w:rsid w:val="000902B9"/>
    <w:rsid w:val="00097268"/>
    <w:rsid w:val="00115A4F"/>
    <w:rsid w:val="0011675F"/>
    <w:rsid w:val="00134156"/>
    <w:rsid w:val="001412C3"/>
    <w:rsid w:val="001812E9"/>
    <w:rsid w:val="00185ED7"/>
    <w:rsid w:val="0019334C"/>
    <w:rsid w:val="001B14D6"/>
    <w:rsid w:val="001B5C2B"/>
    <w:rsid w:val="001C4021"/>
    <w:rsid w:val="001F588B"/>
    <w:rsid w:val="00251AEB"/>
    <w:rsid w:val="00253D55"/>
    <w:rsid w:val="00280938"/>
    <w:rsid w:val="002850AE"/>
    <w:rsid w:val="002B07E8"/>
    <w:rsid w:val="002B2CC0"/>
    <w:rsid w:val="002B6A1F"/>
    <w:rsid w:val="002C3569"/>
    <w:rsid w:val="002C36FF"/>
    <w:rsid w:val="002C387E"/>
    <w:rsid w:val="002E2E51"/>
    <w:rsid w:val="00300F5D"/>
    <w:rsid w:val="00326AA0"/>
    <w:rsid w:val="0034130D"/>
    <w:rsid w:val="003464E1"/>
    <w:rsid w:val="00347425"/>
    <w:rsid w:val="00350016"/>
    <w:rsid w:val="003801BF"/>
    <w:rsid w:val="00384D9D"/>
    <w:rsid w:val="003B4395"/>
    <w:rsid w:val="003D6D62"/>
    <w:rsid w:val="00411D2C"/>
    <w:rsid w:val="004154B6"/>
    <w:rsid w:val="0047714B"/>
    <w:rsid w:val="004853CB"/>
    <w:rsid w:val="0049794F"/>
    <w:rsid w:val="004A0D6A"/>
    <w:rsid w:val="004A342E"/>
    <w:rsid w:val="004A7684"/>
    <w:rsid w:val="004B0D55"/>
    <w:rsid w:val="00523DBD"/>
    <w:rsid w:val="00545453"/>
    <w:rsid w:val="005A64EA"/>
    <w:rsid w:val="005A701C"/>
    <w:rsid w:val="005C179C"/>
    <w:rsid w:val="005D45EA"/>
    <w:rsid w:val="005E7CF5"/>
    <w:rsid w:val="00600277"/>
    <w:rsid w:val="00606E70"/>
    <w:rsid w:val="00616C12"/>
    <w:rsid w:val="006277A8"/>
    <w:rsid w:val="00647DEE"/>
    <w:rsid w:val="00663AEC"/>
    <w:rsid w:val="0068129C"/>
    <w:rsid w:val="00687F2F"/>
    <w:rsid w:val="00697A9E"/>
    <w:rsid w:val="006B5E79"/>
    <w:rsid w:val="006C1B44"/>
    <w:rsid w:val="006D2BC1"/>
    <w:rsid w:val="006F253C"/>
    <w:rsid w:val="00705530"/>
    <w:rsid w:val="007168F0"/>
    <w:rsid w:val="00726F63"/>
    <w:rsid w:val="00732263"/>
    <w:rsid w:val="0075222E"/>
    <w:rsid w:val="00754293"/>
    <w:rsid w:val="007547D2"/>
    <w:rsid w:val="007829D5"/>
    <w:rsid w:val="007A0684"/>
    <w:rsid w:val="007A164D"/>
    <w:rsid w:val="007B5682"/>
    <w:rsid w:val="007C55C0"/>
    <w:rsid w:val="007D40E4"/>
    <w:rsid w:val="00803001"/>
    <w:rsid w:val="00811EF2"/>
    <w:rsid w:val="00843545"/>
    <w:rsid w:val="008553DD"/>
    <w:rsid w:val="00870B81"/>
    <w:rsid w:val="008B2C62"/>
    <w:rsid w:val="008E456E"/>
    <w:rsid w:val="008F0247"/>
    <w:rsid w:val="00937FC1"/>
    <w:rsid w:val="0096405B"/>
    <w:rsid w:val="00987074"/>
    <w:rsid w:val="009A376E"/>
    <w:rsid w:val="009B75C7"/>
    <w:rsid w:val="009E0AC8"/>
    <w:rsid w:val="00A1243D"/>
    <w:rsid w:val="00A15251"/>
    <w:rsid w:val="00A60781"/>
    <w:rsid w:val="00A92707"/>
    <w:rsid w:val="00AA2F96"/>
    <w:rsid w:val="00AA5D99"/>
    <w:rsid w:val="00AC35BB"/>
    <w:rsid w:val="00AD1EB4"/>
    <w:rsid w:val="00AF5D9C"/>
    <w:rsid w:val="00B27A0F"/>
    <w:rsid w:val="00B34059"/>
    <w:rsid w:val="00B373A3"/>
    <w:rsid w:val="00B91C85"/>
    <w:rsid w:val="00B97D9F"/>
    <w:rsid w:val="00BA55E2"/>
    <w:rsid w:val="00BB1590"/>
    <w:rsid w:val="00BE40FC"/>
    <w:rsid w:val="00C041D1"/>
    <w:rsid w:val="00C062B6"/>
    <w:rsid w:val="00C12787"/>
    <w:rsid w:val="00C443BC"/>
    <w:rsid w:val="00C600A5"/>
    <w:rsid w:val="00C72002"/>
    <w:rsid w:val="00CA7A88"/>
    <w:rsid w:val="00CC1A4E"/>
    <w:rsid w:val="00CC1C77"/>
    <w:rsid w:val="00CD7D83"/>
    <w:rsid w:val="00CE2EE7"/>
    <w:rsid w:val="00D01FC1"/>
    <w:rsid w:val="00D372E2"/>
    <w:rsid w:val="00D41292"/>
    <w:rsid w:val="00D60071"/>
    <w:rsid w:val="00D678BE"/>
    <w:rsid w:val="00D7554E"/>
    <w:rsid w:val="00D80FFD"/>
    <w:rsid w:val="00D87422"/>
    <w:rsid w:val="00DE2FC5"/>
    <w:rsid w:val="00E02BD6"/>
    <w:rsid w:val="00E076EA"/>
    <w:rsid w:val="00E36946"/>
    <w:rsid w:val="00E42331"/>
    <w:rsid w:val="00E46DF9"/>
    <w:rsid w:val="00E64F53"/>
    <w:rsid w:val="00E723D6"/>
    <w:rsid w:val="00E762A3"/>
    <w:rsid w:val="00E93727"/>
    <w:rsid w:val="00E96B1E"/>
    <w:rsid w:val="00E97B8C"/>
    <w:rsid w:val="00EB1A6D"/>
    <w:rsid w:val="00EC2528"/>
    <w:rsid w:val="00EC6DB6"/>
    <w:rsid w:val="00EF1A19"/>
    <w:rsid w:val="00EF61BA"/>
    <w:rsid w:val="00F441A5"/>
    <w:rsid w:val="00F46B21"/>
    <w:rsid w:val="00F52DE0"/>
    <w:rsid w:val="00F61E65"/>
    <w:rsid w:val="00F64332"/>
    <w:rsid w:val="00F76442"/>
    <w:rsid w:val="00FA0599"/>
    <w:rsid w:val="00FA5ABC"/>
    <w:rsid w:val="00FB4F98"/>
    <w:rsid w:val="00FE28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Cuenca_Grande"/>
    <w:basedOn w:val="Normal"/>
    <w:next w:val="Normal"/>
    <w:link w:val="Ttulo2Car"/>
    <w:autoRedefine/>
    <w:uiPriority w:val="9"/>
    <w:unhideWhenUsed/>
    <w:qFormat/>
    <w:rsid w:val="00E97B8C"/>
    <w:pPr>
      <w:keepNext/>
      <w:keepLines/>
      <w:numPr>
        <w:numId w:val="2"/>
      </w:numPr>
      <w:spacing w:after="0" w:line="276" w:lineRule="auto"/>
      <w:ind w:hanging="360"/>
      <w:jc w:val="both"/>
      <w:outlineLvl w:val="1"/>
    </w:pPr>
    <w:rPr>
      <w:rFonts w:ascii="Times New Roman" w:eastAsiaTheme="majorEastAsia" w:hAnsi="Times New Roman"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Cuenca_Grande Car"/>
    <w:basedOn w:val="Fuentedeprrafopredeter"/>
    <w:link w:val="Ttulo2"/>
    <w:uiPriority w:val="9"/>
    <w:rsid w:val="00E97B8C"/>
    <w:rPr>
      <w:rFonts w:ascii="Times New Roman" w:eastAsiaTheme="majorEastAsia" w:hAnsi="Times New Roman" w:cstheme="majorBidi"/>
      <w:b/>
      <w:bCs/>
      <w:sz w:val="24"/>
      <w:szCs w:val="26"/>
    </w:rPr>
  </w:style>
  <w:style w:type="paragraph" w:styleId="Prrafodelista">
    <w:name w:val="List Paragraph"/>
    <w:basedOn w:val="Normal"/>
    <w:uiPriority w:val="34"/>
    <w:qFormat/>
    <w:rsid w:val="00EF61BA"/>
    <w:pPr>
      <w:ind w:left="720"/>
      <w:contextualSpacing/>
    </w:pPr>
  </w:style>
  <w:style w:type="paragraph" w:styleId="Epgrafe">
    <w:name w:val="caption"/>
    <w:basedOn w:val="Normal"/>
    <w:next w:val="Normal"/>
    <w:uiPriority w:val="35"/>
    <w:semiHidden/>
    <w:unhideWhenUsed/>
    <w:qFormat/>
    <w:rsid w:val="00052DDC"/>
    <w:pPr>
      <w:spacing w:after="200" w:line="240" w:lineRule="auto"/>
    </w:pPr>
    <w:rPr>
      <w:i/>
      <w:iCs/>
      <w:color w:val="44546A" w:themeColor="text2"/>
      <w:sz w:val="18"/>
      <w:szCs w:val="18"/>
    </w:rPr>
  </w:style>
  <w:style w:type="table" w:styleId="Tablaconcuadrcula">
    <w:name w:val="Table Grid"/>
    <w:basedOn w:val="Tablanormal"/>
    <w:uiPriority w:val="39"/>
    <w:rsid w:val="00681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aliases w:val="Cuenca_Grande"/>
    <w:basedOn w:val="Normal"/>
    <w:next w:val="Normal"/>
    <w:link w:val="Ttulo2Car"/>
    <w:autoRedefine/>
    <w:uiPriority w:val="9"/>
    <w:unhideWhenUsed/>
    <w:qFormat/>
    <w:rsid w:val="00E97B8C"/>
    <w:pPr>
      <w:keepNext/>
      <w:keepLines/>
      <w:numPr>
        <w:numId w:val="2"/>
      </w:numPr>
      <w:spacing w:after="0" w:line="276" w:lineRule="auto"/>
      <w:ind w:hanging="360"/>
      <w:jc w:val="both"/>
      <w:outlineLvl w:val="1"/>
    </w:pPr>
    <w:rPr>
      <w:rFonts w:ascii="Times New Roman" w:eastAsiaTheme="majorEastAsia" w:hAnsi="Times New Roman"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Cuenca_Grande Car"/>
    <w:basedOn w:val="Fuentedeprrafopredeter"/>
    <w:link w:val="Ttulo2"/>
    <w:uiPriority w:val="9"/>
    <w:rsid w:val="00E97B8C"/>
    <w:rPr>
      <w:rFonts w:ascii="Times New Roman" w:eastAsiaTheme="majorEastAsia" w:hAnsi="Times New Roman" w:cstheme="majorBidi"/>
      <w:b/>
      <w:bCs/>
      <w:sz w:val="24"/>
      <w:szCs w:val="26"/>
    </w:rPr>
  </w:style>
  <w:style w:type="paragraph" w:styleId="Prrafodelista">
    <w:name w:val="List Paragraph"/>
    <w:basedOn w:val="Normal"/>
    <w:uiPriority w:val="34"/>
    <w:qFormat/>
    <w:rsid w:val="00EF61BA"/>
    <w:pPr>
      <w:ind w:left="720"/>
      <w:contextualSpacing/>
    </w:pPr>
  </w:style>
  <w:style w:type="paragraph" w:styleId="Epgrafe">
    <w:name w:val="caption"/>
    <w:basedOn w:val="Normal"/>
    <w:next w:val="Normal"/>
    <w:uiPriority w:val="35"/>
    <w:semiHidden/>
    <w:unhideWhenUsed/>
    <w:qFormat/>
    <w:rsid w:val="00052DDC"/>
    <w:pPr>
      <w:spacing w:after="200" w:line="240" w:lineRule="auto"/>
    </w:pPr>
    <w:rPr>
      <w:i/>
      <w:iCs/>
      <w:color w:val="44546A" w:themeColor="text2"/>
      <w:sz w:val="18"/>
      <w:szCs w:val="18"/>
    </w:rPr>
  </w:style>
  <w:style w:type="table" w:styleId="Tablaconcuadrcula">
    <w:name w:val="Table Grid"/>
    <w:basedOn w:val="Tablanormal"/>
    <w:uiPriority w:val="39"/>
    <w:rsid w:val="00681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ABD4-EB67-4568-9E5C-EB4C0AAB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810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DELTA</cp:lastModifiedBy>
  <cp:revision>4</cp:revision>
  <dcterms:created xsi:type="dcterms:W3CDTF">2019-06-28T19:42:00Z</dcterms:created>
  <dcterms:modified xsi:type="dcterms:W3CDTF">2019-06-28T20:24:00Z</dcterms:modified>
</cp:coreProperties>
</file>